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BBC" w:rsidRPr="008E769D" w:rsidRDefault="009D76D8" w:rsidP="009D76D8">
      <w:pPr>
        <w:shd w:val="clear" w:color="auto" w:fill="FFFFFF"/>
        <w:rPr>
          <w:rFonts w:eastAsia="Times New Roman"/>
          <w:b/>
          <w:bCs/>
          <w:sz w:val="24"/>
          <w:szCs w:val="24"/>
          <w:lang w:eastAsia="lv-LV"/>
        </w:rPr>
      </w:pPr>
      <w:r>
        <w:rPr>
          <w:rFonts w:eastAsia="Times New Roman"/>
          <w:b/>
          <w:bCs/>
          <w:sz w:val="24"/>
          <w:szCs w:val="24"/>
          <w:lang w:eastAsia="lv-LV"/>
        </w:rPr>
        <w:t>Izstrādes stadijā:</w:t>
      </w:r>
    </w:p>
    <w:p w:rsidR="0076708C" w:rsidRDefault="0076708C"/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675"/>
        <w:gridCol w:w="3119"/>
        <w:gridCol w:w="5245"/>
      </w:tblGrid>
      <w:tr w:rsidR="0076708C" w:rsidRPr="0076708C" w:rsidTr="00E4179F">
        <w:tc>
          <w:tcPr>
            <w:tcW w:w="675" w:type="dxa"/>
          </w:tcPr>
          <w:p w:rsidR="0076708C" w:rsidRPr="0076708C" w:rsidRDefault="0076708C">
            <w:pPr>
              <w:rPr>
                <w:sz w:val="24"/>
                <w:szCs w:val="24"/>
              </w:rPr>
            </w:pPr>
            <w:r w:rsidRPr="0076708C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76708C" w:rsidRPr="0076708C" w:rsidRDefault="0076708C">
            <w:pPr>
              <w:rPr>
                <w:sz w:val="24"/>
                <w:szCs w:val="24"/>
              </w:rPr>
            </w:pPr>
            <w:r w:rsidRPr="0076708C">
              <w:rPr>
                <w:sz w:val="24"/>
                <w:szCs w:val="24"/>
              </w:rPr>
              <w:t>Dokumenta veids</w:t>
            </w:r>
          </w:p>
        </w:tc>
        <w:tc>
          <w:tcPr>
            <w:tcW w:w="5245" w:type="dxa"/>
          </w:tcPr>
          <w:p w:rsidR="0076708C" w:rsidRPr="0076708C" w:rsidRDefault="000344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MK</w:t>
            </w:r>
            <w:r w:rsidR="00F12BBC">
              <w:rPr>
                <w:sz w:val="24"/>
                <w:szCs w:val="24"/>
              </w:rPr>
              <w:t xml:space="preserve"> noteikumu projekts</w:t>
            </w:r>
            <w:r w:rsidR="0076708C">
              <w:rPr>
                <w:sz w:val="24"/>
                <w:szCs w:val="24"/>
              </w:rPr>
              <w:t>.</w:t>
            </w:r>
          </w:p>
        </w:tc>
      </w:tr>
      <w:tr w:rsidR="0076708C" w:rsidRPr="0076708C" w:rsidTr="00E4179F">
        <w:trPr>
          <w:trHeight w:val="1506"/>
        </w:trPr>
        <w:tc>
          <w:tcPr>
            <w:tcW w:w="675" w:type="dxa"/>
          </w:tcPr>
          <w:p w:rsidR="0076708C" w:rsidRPr="0076708C" w:rsidRDefault="007670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76708C" w:rsidRPr="0076708C" w:rsidRDefault="007670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Dokumenta nosaukums</w:t>
            </w:r>
          </w:p>
        </w:tc>
        <w:tc>
          <w:tcPr>
            <w:tcW w:w="5245" w:type="dxa"/>
            <w:vAlign w:val="center"/>
          </w:tcPr>
          <w:p w:rsidR="0076708C" w:rsidRPr="008B030F" w:rsidRDefault="0076708C" w:rsidP="009E71BD">
            <w:pPr>
              <w:rPr>
                <w:b/>
                <w:sz w:val="24"/>
                <w:szCs w:val="24"/>
              </w:rPr>
            </w:pPr>
            <w:r w:rsidRPr="008B030F">
              <w:rPr>
                <w:b/>
                <w:sz w:val="24"/>
                <w:szCs w:val="24"/>
              </w:rPr>
              <w:t>Grozījumi Ministru kabineta 201</w:t>
            </w:r>
            <w:r w:rsidR="00721244" w:rsidRPr="008B030F">
              <w:rPr>
                <w:b/>
                <w:sz w:val="24"/>
                <w:szCs w:val="24"/>
              </w:rPr>
              <w:t>7.gada 23.maija noteikumos Nr.264</w:t>
            </w:r>
            <w:r w:rsidRPr="008B030F">
              <w:rPr>
                <w:b/>
                <w:sz w:val="24"/>
                <w:szCs w:val="24"/>
              </w:rPr>
              <w:t xml:space="preserve"> „Noteikumi par Profesiju klasifikatoru, profesijai atbilstošiem pamatuzdevumiem un kvalifikācijas pamatprasībām”</w:t>
            </w:r>
          </w:p>
        </w:tc>
      </w:tr>
      <w:tr w:rsidR="0076708C" w:rsidRPr="0076708C" w:rsidTr="00E4179F">
        <w:tc>
          <w:tcPr>
            <w:tcW w:w="675" w:type="dxa"/>
          </w:tcPr>
          <w:p w:rsidR="0076708C" w:rsidRDefault="007670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:rsidR="0076708C" w:rsidRDefault="007670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Politikas joma un nozare vai teritorija</w:t>
            </w:r>
          </w:p>
        </w:tc>
        <w:tc>
          <w:tcPr>
            <w:tcW w:w="5245" w:type="dxa"/>
          </w:tcPr>
          <w:p w:rsidR="0076708C" w:rsidRPr="0076708C" w:rsidRDefault="007670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Nodarbinātības un sociālā politika</w:t>
            </w:r>
            <w:r w:rsidR="00F12BBC">
              <w:rPr>
                <w:sz w:val="24"/>
                <w:szCs w:val="24"/>
              </w:rPr>
              <w:t>.</w:t>
            </w:r>
          </w:p>
        </w:tc>
      </w:tr>
      <w:tr w:rsidR="0076708C" w:rsidRPr="0076708C" w:rsidTr="00E4179F">
        <w:tc>
          <w:tcPr>
            <w:tcW w:w="675" w:type="dxa"/>
          </w:tcPr>
          <w:p w:rsidR="0076708C" w:rsidRDefault="007670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</w:tcPr>
          <w:p w:rsidR="0076708C" w:rsidRDefault="007670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Dokumenta mērķgrupas</w:t>
            </w:r>
          </w:p>
        </w:tc>
        <w:tc>
          <w:tcPr>
            <w:tcW w:w="5245" w:type="dxa"/>
          </w:tcPr>
          <w:p w:rsidR="0076708C" w:rsidRDefault="00723205" w:rsidP="00721244">
            <w:pPr>
              <w:rPr>
                <w:sz w:val="24"/>
                <w:szCs w:val="24"/>
              </w:rPr>
            </w:pPr>
            <w:r>
              <w:rPr>
                <w:iCs/>
                <w:sz w:val="24"/>
              </w:rPr>
              <w:t>MK noteikumi</w:t>
            </w:r>
            <w:r w:rsidR="00414E11" w:rsidRPr="00D42CC4">
              <w:rPr>
                <w:iCs/>
                <w:sz w:val="24"/>
              </w:rPr>
              <w:t xml:space="preserve"> attiecas uz </w:t>
            </w:r>
            <w:r w:rsidR="00D479EC">
              <w:rPr>
                <w:iCs/>
                <w:sz w:val="24"/>
              </w:rPr>
              <w:t>darba devējiem un darba ņēmēji</w:t>
            </w:r>
            <w:r w:rsidR="00721244">
              <w:rPr>
                <w:iCs/>
                <w:sz w:val="24"/>
              </w:rPr>
              <w:t>em darba tiesiskajās attiecībās</w:t>
            </w:r>
            <w:r w:rsidR="00414E11" w:rsidRPr="00D42CC4">
              <w:rPr>
                <w:iCs/>
                <w:sz w:val="24"/>
              </w:rPr>
              <w:t>.</w:t>
            </w:r>
          </w:p>
        </w:tc>
      </w:tr>
      <w:tr w:rsidR="0076708C" w:rsidRPr="0076708C" w:rsidTr="00E4179F">
        <w:tc>
          <w:tcPr>
            <w:tcW w:w="675" w:type="dxa"/>
          </w:tcPr>
          <w:p w:rsidR="0076708C" w:rsidRDefault="007670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</w:tcPr>
          <w:p w:rsidR="0076708C" w:rsidRDefault="0076708C" w:rsidP="007670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Dokumenta mērķis un sākotnēji identificētas problēmas būtība</w:t>
            </w:r>
          </w:p>
        </w:tc>
        <w:tc>
          <w:tcPr>
            <w:tcW w:w="5245" w:type="dxa"/>
          </w:tcPr>
          <w:p w:rsidR="00721244" w:rsidRPr="009D76D8" w:rsidRDefault="00723205" w:rsidP="00721244">
            <w:pPr>
              <w:jc w:val="both"/>
              <w:rPr>
                <w:sz w:val="24"/>
                <w:szCs w:val="24"/>
              </w:rPr>
            </w:pPr>
            <w:r w:rsidRPr="009D76D8">
              <w:rPr>
                <w:sz w:val="24"/>
                <w:szCs w:val="24"/>
              </w:rPr>
              <w:t>MK noteikumu</w:t>
            </w:r>
            <w:r w:rsidR="00414E11" w:rsidRPr="009D76D8">
              <w:rPr>
                <w:sz w:val="24"/>
                <w:szCs w:val="24"/>
              </w:rPr>
              <w:t xml:space="preserve"> mērķis ir aktualizēt Profesiju klasifikatoru</w:t>
            </w:r>
            <w:r w:rsidR="00721244" w:rsidRPr="009D76D8">
              <w:rPr>
                <w:sz w:val="24"/>
                <w:szCs w:val="24"/>
              </w:rPr>
              <w:t>.</w:t>
            </w:r>
          </w:p>
          <w:p w:rsidR="00414E11" w:rsidRDefault="00721244" w:rsidP="00BB7F98">
            <w:pPr>
              <w:shd w:val="clear" w:color="auto" w:fill="FFFFFF"/>
              <w:ind w:right="112"/>
              <w:jc w:val="both"/>
              <w:rPr>
                <w:sz w:val="24"/>
                <w:szCs w:val="24"/>
              </w:rPr>
            </w:pPr>
            <w:r w:rsidRPr="009D76D8">
              <w:rPr>
                <w:sz w:val="24"/>
                <w:szCs w:val="24"/>
                <w:lang w:eastAsia="lv-LV"/>
              </w:rPr>
              <w:t xml:space="preserve">Noteikumu projekta pielikumā „Profesiju klasifikators” ir </w:t>
            </w:r>
            <w:r w:rsidR="005105E7" w:rsidRPr="00567288">
              <w:rPr>
                <w:sz w:val="24"/>
              </w:rPr>
              <w:t>iekļau</w:t>
            </w:r>
            <w:r w:rsidR="005105E7">
              <w:rPr>
                <w:sz w:val="24"/>
              </w:rPr>
              <w:t>ta</w:t>
            </w:r>
            <w:r w:rsidR="005105E7" w:rsidRPr="00567288">
              <w:rPr>
                <w:sz w:val="24"/>
              </w:rPr>
              <w:t xml:space="preserve"> profesij</w:t>
            </w:r>
            <w:r w:rsidR="005105E7">
              <w:rPr>
                <w:sz w:val="24"/>
              </w:rPr>
              <w:t>a</w:t>
            </w:r>
            <w:r w:rsidR="005105E7" w:rsidRPr="00567288">
              <w:rPr>
                <w:sz w:val="24"/>
              </w:rPr>
              <w:t xml:space="preserve"> „</w:t>
            </w:r>
            <w:r w:rsidR="005105E7">
              <w:rPr>
                <w:sz w:val="24"/>
              </w:rPr>
              <w:t>Sertificēts mediators”</w:t>
            </w:r>
            <w:r w:rsidR="00E65C80">
              <w:rPr>
                <w:sz w:val="24"/>
              </w:rPr>
              <w:t>,</w:t>
            </w:r>
            <w:r w:rsidR="005105E7">
              <w:rPr>
                <w:sz w:val="24"/>
              </w:rPr>
              <w:t xml:space="preserve"> profesija “Mediators”, </w:t>
            </w:r>
            <w:r w:rsidR="00E65C80">
              <w:rPr>
                <w:sz w:val="24"/>
              </w:rPr>
              <w:t xml:space="preserve">profesija “Lidostas operatīvo procesu koordinators”, profesija “Lidojuma koordinators” un profesija “Lidmašīnu atledošanas speciālists”, </w:t>
            </w:r>
            <w:r w:rsidR="005105E7">
              <w:rPr>
                <w:sz w:val="24"/>
              </w:rPr>
              <w:t>piešķirot tām kodu,</w:t>
            </w:r>
            <w:r w:rsidR="005105E7" w:rsidRPr="00567288">
              <w:rPr>
                <w:sz w:val="24"/>
              </w:rPr>
              <w:t xml:space="preserve"> </w:t>
            </w:r>
            <w:r w:rsidR="00BB7F98" w:rsidRPr="00567288">
              <w:rPr>
                <w:sz w:val="24"/>
              </w:rPr>
              <w:t>svītro</w:t>
            </w:r>
            <w:r w:rsidR="00BB7F98">
              <w:rPr>
                <w:sz w:val="24"/>
              </w:rPr>
              <w:t>ta</w:t>
            </w:r>
            <w:r w:rsidR="00BB7F98" w:rsidRPr="00567288">
              <w:rPr>
                <w:sz w:val="24"/>
              </w:rPr>
              <w:t xml:space="preserve"> profesij</w:t>
            </w:r>
            <w:r w:rsidR="00BB7F98">
              <w:rPr>
                <w:sz w:val="24"/>
              </w:rPr>
              <w:t>a</w:t>
            </w:r>
            <w:r w:rsidR="00BB7F98" w:rsidRPr="00567288">
              <w:rPr>
                <w:sz w:val="24"/>
              </w:rPr>
              <w:t xml:space="preserve"> „</w:t>
            </w:r>
            <w:r w:rsidR="005105E7">
              <w:rPr>
                <w:sz w:val="24"/>
              </w:rPr>
              <w:t>Lidostas tehnikas operators”</w:t>
            </w:r>
            <w:r w:rsidR="00E65C80">
              <w:rPr>
                <w:sz w:val="24"/>
              </w:rPr>
              <w:t xml:space="preserve"> un mainīts kods amatam “Saeimas deputāta palīgs”</w:t>
            </w:r>
            <w:r w:rsidR="005105E7">
              <w:rPr>
                <w:sz w:val="24"/>
              </w:rPr>
              <w:t>.</w:t>
            </w:r>
          </w:p>
        </w:tc>
      </w:tr>
      <w:tr w:rsidR="0076708C" w:rsidRPr="0076708C" w:rsidTr="00E4179F">
        <w:tc>
          <w:tcPr>
            <w:tcW w:w="675" w:type="dxa"/>
          </w:tcPr>
          <w:p w:rsidR="0076708C" w:rsidRDefault="007670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9" w:type="dxa"/>
          </w:tcPr>
          <w:p w:rsidR="0076708C" w:rsidRDefault="0076708C" w:rsidP="007670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Dokumenta izstrādes laiks un plānotā virzība</w:t>
            </w:r>
          </w:p>
        </w:tc>
        <w:tc>
          <w:tcPr>
            <w:tcW w:w="5245" w:type="dxa"/>
          </w:tcPr>
          <w:p w:rsidR="0076708C" w:rsidRDefault="00723205" w:rsidP="00BB7F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MK noteikumu projektu </w:t>
            </w:r>
            <w:r w:rsidR="00A91EA7">
              <w:rPr>
                <w:sz w:val="24"/>
                <w:szCs w:val="24"/>
              </w:rPr>
              <w:t>plānots izsludināt valsts sekretāru sanāksmē 201</w:t>
            </w:r>
            <w:r w:rsidR="00BB7F98">
              <w:rPr>
                <w:sz w:val="24"/>
                <w:szCs w:val="24"/>
              </w:rPr>
              <w:t>9</w:t>
            </w:r>
            <w:r w:rsidR="00A91EA7">
              <w:rPr>
                <w:sz w:val="24"/>
                <w:szCs w:val="24"/>
              </w:rPr>
              <w:t xml:space="preserve">.gada </w:t>
            </w:r>
            <w:r w:rsidR="00BB7F98">
              <w:rPr>
                <w:sz w:val="24"/>
                <w:szCs w:val="24"/>
              </w:rPr>
              <w:t>martā</w:t>
            </w:r>
            <w:r w:rsidR="009A2629">
              <w:rPr>
                <w:sz w:val="24"/>
                <w:szCs w:val="24"/>
              </w:rPr>
              <w:t>.</w:t>
            </w:r>
          </w:p>
        </w:tc>
      </w:tr>
      <w:tr w:rsidR="0076708C" w:rsidRPr="0076708C" w:rsidTr="00E4179F">
        <w:tc>
          <w:tcPr>
            <w:tcW w:w="675" w:type="dxa"/>
          </w:tcPr>
          <w:p w:rsidR="0076708C" w:rsidRDefault="007670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119" w:type="dxa"/>
          </w:tcPr>
          <w:p w:rsidR="0076708C" w:rsidRDefault="0076708C" w:rsidP="007670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Dokumenti</w:t>
            </w:r>
          </w:p>
        </w:tc>
        <w:tc>
          <w:tcPr>
            <w:tcW w:w="5245" w:type="dxa"/>
          </w:tcPr>
          <w:p w:rsidR="00F12BBC" w:rsidRDefault="00A91EA7" w:rsidP="009D76D8">
            <w:pPr>
              <w:pStyle w:val="ListParagraph"/>
              <w:numPr>
                <w:ilvl w:val="0"/>
                <w:numId w:val="1"/>
              </w:numPr>
              <w:ind w:left="459"/>
              <w:jc w:val="both"/>
              <w:rPr>
                <w:sz w:val="24"/>
                <w:szCs w:val="24"/>
              </w:rPr>
            </w:pPr>
            <w:r w:rsidRPr="00A161ED">
              <w:rPr>
                <w:sz w:val="24"/>
                <w:szCs w:val="24"/>
              </w:rPr>
              <w:t>Ministru kabineta noteikumu projekts</w:t>
            </w:r>
            <w:r w:rsidR="00F12BBC" w:rsidRPr="00A161ED">
              <w:rPr>
                <w:sz w:val="24"/>
                <w:szCs w:val="24"/>
              </w:rPr>
              <w:t xml:space="preserve"> „Grozījumi Ministru kabineta 2017.gada 23.maija noteikumos Nr.264 „Noteikumi par Profesiju klasifikatoru, profesijai atbilstošiem pamatuzdevumiem un kvalifikācijas pamatprasībām””;</w:t>
            </w:r>
          </w:p>
          <w:p w:rsidR="0076708C" w:rsidRPr="005105E7" w:rsidRDefault="00A161ED" w:rsidP="00E4179F">
            <w:pPr>
              <w:pStyle w:val="ListParagraph"/>
              <w:numPr>
                <w:ilvl w:val="0"/>
                <w:numId w:val="1"/>
              </w:numPr>
              <w:ind w:left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Ministru kabineta noteikumu projekta „</w:t>
            </w:r>
            <w:r w:rsidRPr="0076708C">
              <w:rPr>
                <w:sz w:val="24"/>
                <w:szCs w:val="24"/>
              </w:rPr>
              <w:t>Grozījumi Ministru kabineta 201</w:t>
            </w:r>
            <w:r>
              <w:rPr>
                <w:sz w:val="24"/>
                <w:szCs w:val="24"/>
              </w:rPr>
              <w:t>7.gada 23.maija noteikumos Nr.264</w:t>
            </w:r>
            <w:r w:rsidRPr="0076708C">
              <w:rPr>
                <w:sz w:val="24"/>
                <w:szCs w:val="24"/>
              </w:rPr>
              <w:t xml:space="preserve"> „Noteikumi par Profesiju klasifikatoru, profesijai atbilstošiem pamatuzdevumiem un kvalifikācijas pamatprasībām</w:t>
            </w:r>
            <w:r>
              <w:rPr>
                <w:sz w:val="24"/>
                <w:szCs w:val="24"/>
              </w:rPr>
              <w:t xml:space="preserve">”” </w:t>
            </w:r>
            <w:r w:rsidRPr="00704DA4">
              <w:rPr>
                <w:rFonts w:eastAsia="Times New Roman"/>
                <w:bCs/>
                <w:color w:val="000000" w:themeColor="text1"/>
                <w:sz w:val="24"/>
                <w:szCs w:val="24"/>
                <w:lang w:eastAsia="lv-LV"/>
              </w:rPr>
              <w:t>sākotnējās ietekmes novērtējuma ziņojums (anotācija)</w:t>
            </w:r>
            <w:r w:rsidR="005105E7">
              <w:rPr>
                <w:rFonts w:eastAsia="Times New Roman"/>
                <w:bCs/>
                <w:color w:val="000000" w:themeColor="text1"/>
                <w:sz w:val="24"/>
                <w:szCs w:val="24"/>
                <w:lang w:eastAsia="lv-LV"/>
              </w:rPr>
              <w:t>;</w:t>
            </w:r>
          </w:p>
          <w:p w:rsidR="005105E7" w:rsidRDefault="005105E7" w:rsidP="00E4179F">
            <w:pPr>
              <w:pStyle w:val="ListParagraph"/>
              <w:numPr>
                <w:ilvl w:val="0"/>
                <w:numId w:val="1"/>
              </w:numPr>
              <w:ind w:left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Ministru kabineta noteikumu projekta „</w:t>
            </w:r>
            <w:r w:rsidRPr="0076708C">
              <w:rPr>
                <w:sz w:val="24"/>
                <w:szCs w:val="24"/>
              </w:rPr>
              <w:t>Grozījumi Ministru kabineta 201</w:t>
            </w:r>
            <w:r>
              <w:rPr>
                <w:sz w:val="24"/>
                <w:szCs w:val="24"/>
              </w:rPr>
              <w:t>7.gada 23.maija noteikumos Nr.264</w:t>
            </w:r>
            <w:r w:rsidRPr="0076708C">
              <w:rPr>
                <w:sz w:val="24"/>
                <w:szCs w:val="24"/>
              </w:rPr>
              <w:t xml:space="preserve"> „Noteikumi par Profesiju klasifikatoru, profesijai atbilstošiem pamatuzdevumiem un kvalifikācijas pamatprasībām</w:t>
            </w:r>
            <w:r>
              <w:rPr>
                <w:sz w:val="24"/>
                <w:szCs w:val="24"/>
              </w:rPr>
              <w:t xml:space="preserve">”” </w:t>
            </w:r>
            <w:r w:rsidRPr="00704DA4">
              <w:rPr>
                <w:rFonts w:eastAsia="Times New Roman"/>
                <w:bCs/>
                <w:color w:val="000000" w:themeColor="text1"/>
                <w:sz w:val="24"/>
                <w:szCs w:val="24"/>
                <w:lang w:eastAsia="lv-LV"/>
              </w:rPr>
              <w:t>sākotnējās ietekmes novērtējuma ziņojum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  <w:lang w:eastAsia="lv-LV"/>
              </w:rPr>
              <w:t>a</w:t>
            </w:r>
            <w:r w:rsidRPr="00704DA4">
              <w:rPr>
                <w:rFonts w:eastAsia="Times New Roman"/>
                <w:bCs/>
                <w:color w:val="000000" w:themeColor="text1"/>
                <w:sz w:val="24"/>
                <w:szCs w:val="24"/>
                <w:lang w:eastAsia="lv-LV"/>
              </w:rPr>
              <w:t xml:space="preserve"> (anotācija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  <w:lang w:eastAsia="lv-LV"/>
              </w:rPr>
              <w:t>s) pielikums.</w:t>
            </w:r>
          </w:p>
        </w:tc>
      </w:tr>
      <w:tr w:rsidR="0076708C" w:rsidRPr="0076708C" w:rsidTr="00E4179F">
        <w:tc>
          <w:tcPr>
            <w:tcW w:w="675" w:type="dxa"/>
          </w:tcPr>
          <w:p w:rsidR="0076708C" w:rsidRDefault="007670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119" w:type="dxa"/>
          </w:tcPr>
          <w:p w:rsidR="0076708C" w:rsidRDefault="0076708C" w:rsidP="007670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Sabiedrības pārstāvju iespējas līdzdarboties</w:t>
            </w:r>
          </w:p>
        </w:tc>
        <w:tc>
          <w:tcPr>
            <w:tcW w:w="5245" w:type="dxa"/>
          </w:tcPr>
          <w:p w:rsidR="0076708C" w:rsidRDefault="00A91EA7" w:rsidP="009D76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Sabiedrībai ir tiesības līdzdarboties grozījumu </w:t>
            </w:r>
            <w:r w:rsidR="009D76D8">
              <w:rPr>
                <w:sz w:val="24"/>
                <w:szCs w:val="24"/>
              </w:rPr>
              <w:t xml:space="preserve">projekta izstrādē elektroniski </w:t>
            </w:r>
            <w:r>
              <w:rPr>
                <w:sz w:val="24"/>
                <w:szCs w:val="24"/>
              </w:rPr>
              <w:t>vai klātienē.</w:t>
            </w:r>
          </w:p>
        </w:tc>
      </w:tr>
      <w:tr w:rsidR="0076708C" w:rsidRPr="0076708C" w:rsidTr="00E4179F">
        <w:tc>
          <w:tcPr>
            <w:tcW w:w="675" w:type="dxa"/>
          </w:tcPr>
          <w:p w:rsidR="0076708C" w:rsidRDefault="007670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119" w:type="dxa"/>
          </w:tcPr>
          <w:p w:rsidR="0076708C" w:rsidRDefault="0076708C" w:rsidP="007670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Pieteikšanās līdzdalībai</w:t>
            </w:r>
          </w:p>
        </w:tc>
        <w:tc>
          <w:tcPr>
            <w:tcW w:w="5245" w:type="dxa"/>
          </w:tcPr>
          <w:p w:rsidR="005F4A8D" w:rsidRPr="005F4A8D" w:rsidRDefault="00B866DC" w:rsidP="00B866DC">
            <w:pPr>
              <w:jc w:val="both"/>
              <w:rPr>
                <w:rStyle w:val="Hyperlink"/>
                <w:sz w:val="24"/>
                <w:szCs w:val="24"/>
              </w:rPr>
            </w:pPr>
            <w:r w:rsidRPr="00787ADF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 xml:space="preserve">Lūdzam pieteikties 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 xml:space="preserve">sabiedrības </w:t>
            </w:r>
            <w:r w:rsidRPr="00787ADF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 xml:space="preserve">līdzdalībai, rakstiski sniedzot viedokli par 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MK noteikumu</w:t>
            </w:r>
            <w:r w:rsidRPr="00787ADF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 xml:space="preserve"> projektu līdz </w:t>
            </w:r>
            <w:r w:rsidR="00485387" w:rsidRPr="00485387">
              <w:rPr>
                <w:rFonts w:eastAsia="Times New Roman"/>
                <w:b/>
                <w:color w:val="000000" w:themeColor="text1"/>
                <w:sz w:val="24"/>
                <w:szCs w:val="24"/>
                <w:lang w:eastAsia="lv-LV"/>
              </w:rPr>
              <w:t>201</w:t>
            </w:r>
            <w:r w:rsidR="00BB7F98">
              <w:rPr>
                <w:rFonts w:eastAsia="Times New Roman"/>
                <w:b/>
                <w:color w:val="000000" w:themeColor="text1"/>
                <w:sz w:val="24"/>
                <w:szCs w:val="24"/>
                <w:lang w:eastAsia="lv-LV"/>
              </w:rPr>
              <w:t>9</w:t>
            </w:r>
            <w:r w:rsidR="00485387" w:rsidRPr="00485387">
              <w:rPr>
                <w:rFonts w:eastAsia="Times New Roman"/>
                <w:b/>
                <w:color w:val="000000" w:themeColor="text1"/>
                <w:sz w:val="24"/>
                <w:szCs w:val="24"/>
                <w:lang w:eastAsia="lv-LV"/>
              </w:rPr>
              <w:t>.gada</w:t>
            </w:r>
            <w:r w:rsidRPr="00787ADF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  <w:r w:rsidR="005F4A8D" w:rsidRPr="005F4A8D">
              <w:rPr>
                <w:rFonts w:eastAsia="Times New Roman"/>
                <w:b/>
                <w:color w:val="000000" w:themeColor="text1"/>
                <w:sz w:val="24"/>
                <w:szCs w:val="24"/>
                <w:lang w:eastAsia="lv-LV"/>
              </w:rPr>
              <w:t>14.</w:t>
            </w:r>
            <w:r w:rsidR="005105E7" w:rsidRPr="005F4A8D">
              <w:rPr>
                <w:rFonts w:eastAsia="Times New Roman"/>
                <w:b/>
                <w:color w:val="000000" w:themeColor="text1"/>
                <w:sz w:val="24"/>
                <w:szCs w:val="24"/>
                <w:lang w:eastAsia="lv-LV"/>
              </w:rPr>
              <w:t>novembrim</w:t>
            </w:r>
            <w:r w:rsidRPr="00787ADF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, informāciju nosūtot uz e-pasta adresi</w:t>
            </w:r>
            <w:r w:rsidR="003D0C52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:</w:t>
            </w:r>
            <w:r w:rsidRPr="00787ADF"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  <w:hyperlink r:id="rId7" w:history="1">
              <w:r w:rsidR="00954D23" w:rsidRPr="005F4A8D">
                <w:rPr>
                  <w:rStyle w:val="Hyperlink"/>
                  <w:sz w:val="24"/>
                  <w:szCs w:val="24"/>
                </w:rPr>
                <w:t>Aina.Liepina@lm.gov.lv</w:t>
              </w:r>
            </w:hyperlink>
          </w:p>
          <w:p w:rsidR="00B866DC" w:rsidRPr="00BE770C" w:rsidRDefault="00B866DC" w:rsidP="00B866DC">
            <w:pPr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lv-LV"/>
              </w:rPr>
              <w:t>Sabiedrības līdzdalība iespējama arī pēc MK noteikumu projekta izsludināšanas Valsts sekretāru sanāksmē.</w:t>
            </w:r>
          </w:p>
        </w:tc>
      </w:tr>
      <w:tr w:rsidR="0076708C" w:rsidRPr="0076708C" w:rsidTr="00E4179F">
        <w:tc>
          <w:tcPr>
            <w:tcW w:w="675" w:type="dxa"/>
          </w:tcPr>
          <w:p w:rsidR="0076708C" w:rsidRDefault="007670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3119" w:type="dxa"/>
          </w:tcPr>
          <w:p w:rsidR="0076708C" w:rsidRDefault="0076708C" w:rsidP="007670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Cita informācija</w:t>
            </w:r>
          </w:p>
        </w:tc>
        <w:tc>
          <w:tcPr>
            <w:tcW w:w="5245" w:type="dxa"/>
          </w:tcPr>
          <w:p w:rsidR="0076708C" w:rsidRDefault="0076708C" w:rsidP="007670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Nav.</w:t>
            </w:r>
          </w:p>
        </w:tc>
      </w:tr>
      <w:tr w:rsidR="0076708C" w:rsidRPr="0076708C" w:rsidTr="00E4179F">
        <w:trPr>
          <w:trHeight w:val="1143"/>
        </w:trPr>
        <w:tc>
          <w:tcPr>
            <w:tcW w:w="675" w:type="dxa"/>
          </w:tcPr>
          <w:p w:rsidR="0076708C" w:rsidRDefault="007670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119" w:type="dxa"/>
          </w:tcPr>
          <w:p w:rsidR="0076708C" w:rsidRDefault="0076708C" w:rsidP="007670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Atbildīgā amatpersona</w:t>
            </w:r>
          </w:p>
        </w:tc>
        <w:tc>
          <w:tcPr>
            <w:tcW w:w="5245" w:type="dxa"/>
          </w:tcPr>
          <w:p w:rsidR="0076708C" w:rsidRDefault="00732740" w:rsidP="00BE77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Labklājības ministrijas Darba tirgus politikas departamenta vecākā </w:t>
            </w:r>
            <w:r w:rsidR="009D76D8">
              <w:rPr>
                <w:sz w:val="24"/>
                <w:szCs w:val="24"/>
              </w:rPr>
              <w:t>eksperte</w:t>
            </w:r>
            <w:r>
              <w:rPr>
                <w:sz w:val="24"/>
                <w:szCs w:val="24"/>
              </w:rPr>
              <w:t xml:space="preserve"> Aina Liepiņa</w:t>
            </w:r>
            <w:r w:rsidR="00860480">
              <w:rPr>
                <w:sz w:val="24"/>
                <w:szCs w:val="24"/>
              </w:rPr>
              <w:t>,</w:t>
            </w:r>
            <w:bookmarkStart w:id="0" w:name="_GoBack"/>
            <w:bookmarkEnd w:id="0"/>
          </w:p>
          <w:p w:rsidR="00732740" w:rsidRDefault="00732740" w:rsidP="007670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hyperlink r:id="rId8" w:history="1">
              <w:r w:rsidRPr="00732740">
                <w:rPr>
                  <w:rStyle w:val="Hyperlink"/>
                  <w:color w:val="auto"/>
                  <w:sz w:val="24"/>
                  <w:szCs w:val="24"/>
                  <w:u w:val="none"/>
                </w:rPr>
                <w:t>Aina.Liepina@lm.gov.lv</w:t>
              </w:r>
            </w:hyperlink>
            <w:r>
              <w:rPr>
                <w:sz w:val="24"/>
                <w:szCs w:val="24"/>
              </w:rPr>
              <w:t>, tālr.67021519)</w:t>
            </w:r>
            <w:r w:rsidR="00A91EA7">
              <w:rPr>
                <w:sz w:val="24"/>
                <w:szCs w:val="24"/>
              </w:rPr>
              <w:t>.</w:t>
            </w:r>
          </w:p>
        </w:tc>
      </w:tr>
    </w:tbl>
    <w:p w:rsidR="0076708C" w:rsidRPr="0023351E" w:rsidRDefault="0076708C">
      <w:pPr>
        <w:rPr>
          <w:sz w:val="16"/>
          <w:szCs w:val="16"/>
        </w:rPr>
      </w:pPr>
    </w:p>
    <w:sectPr w:rsidR="0076708C" w:rsidRPr="0023351E" w:rsidSect="0023351E">
      <w:headerReference w:type="default" r:id="rId9"/>
      <w:pgSz w:w="11906" w:h="16838"/>
      <w:pgMar w:top="1440" w:right="1800" w:bottom="851" w:left="180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231D" w:rsidRDefault="00EA231D" w:rsidP="00BA1663">
      <w:r>
        <w:separator/>
      </w:r>
    </w:p>
  </w:endnote>
  <w:endnote w:type="continuationSeparator" w:id="0">
    <w:p w:rsidR="00EA231D" w:rsidRDefault="00EA231D" w:rsidP="00BA1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231D" w:rsidRDefault="00EA231D" w:rsidP="00BA1663">
      <w:r>
        <w:separator/>
      </w:r>
    </w:p>
  </w:footnote>
  <w:footnote w:type="continuationSeparator" w:id="0">
    <w:p w:rsidR="00EA231D" w:rsidRDefault="00EA231D" w:rsidP="00BA1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48707039"/>
      <w:docPartObj>
        <w:docPartGallery w:val="Page Numbers (Top of Page)"/>
        <w:docPartUnique/>
      </w:docPartObj>
    </w:sdtPr>
    <w:sdtEndPr>
      <w:rPr>
        <w:noProof/>
      </w:rPr>
    </w:sdtEndPr>
    <w:sdtContent>
      <w:p w:rsidR="00BA1663" w:rsidRDefault="00BA166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179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A1663" w:rsidRDefault="00BA16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E5565"/>
    <w:multiLevelType w:val="hybridMultilevel"/>
    <w:tmpl w:val="FB765FE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08C"/>
    <w:rsid w:val="00034437"/>
    <w:rsid w:val="00070E4D"/>
    <w:rsid w:val="000C20DC"/>
    <w:rsid w:val="000E0947"/>
    <w:rsid w:val="000E300F"/>
    <w:rsid w:val="00131F2B"/>
    <w:rsid w:val="001C45B8"/>
    <w:rsid w:val="001C7AB6"/>
    <w:rsid w:val="0023351E"/>
    <w:rsid w:val="002405A2"/>
    <w:rsid w:val="00253CB8"/>
    <w:rsid w:val="00281E16"/>
    <w:rsid w:val="00324E61"/>
    <w:rsid w:val="003432B0"/>
    <w:rsid w:val="00386F68"/>
    <w:rsid w:val="00387750"/>
    <w:rsid w:val="003B00F1"/>
    <w:rsid w:val="003B1312"/>
    <w:rsid w:val="003D0C52"/>
    <w:rsid w:val="00414E11"/>
    <w:rsid w:val="00424087"/>
    <w:rsid w:val="00440848"/>
    <w:rsid w:val="00472422"/>
    <w:rsid w:val="00485387"/>
    <w:rsid w:val="005105E7"/>
    <w:rsid w:val="00592A3F"/>
    <w:rsid w:val="005C573B"/>
    <w:rsid w:val="005C6AE7"/>
    <w:rsid w:val="005D32B2"/>
    <w:rsid w:val="005D4E7D"/>
    <w:rsid w:val="005F4A8D"/>
    <w:rsid w:val="00644C12"/>
    <w:rsid w:val="00656D21"/>
    <w:rsid w:val="00702DCC"/>
    <w:rsid w:val="00721244"/>
    <w:rsid w:val="00723205"/>
    <w:rsid w:val="00732740"/>
    <w:rsid w:val="00751C7C"/>
    <w:rsid w:val="0076708C"/>
    <w:rsid w:val="007C1F2E"/>
    <w:rsid w:val="007D2A49"/>
    <w:rsid w:val="00860480"/>
    <w:rsid w:val="008A4183"/>
    <w:rsid w:val="008B030F"/>
    <w:rsid w:val="00932383"/>
    <w:rsid w:val="00932E64"/>
    <w:rsid w:val="00954D23"/>
    <w:rsid w:val="009761BE"/>
    <w:rsid w:val="009811F2"/>
    <w:rsid w:val="00985FA4"/>
    <w:rsid w:val="009A2629"/>
    <w:rsid w:val="009D76D8"/>
    <w:rsid w:val="009E4D5C"/>
    <w:rsid w:val="009E71BD"/>
    <w:rsid w:val="00A161ED"/>
    <w:rsid w:val="00A91EA7"/>
    <w:rsid w:val="00A962C7"/>
    <w:rsid w:val="00AC6D60"/>
    <w:rsid w:val="00B222A7"/>
    <w:rsid w:val="00B45604"/>
    <w:rsid w:val="00B866DC"/>
    <w:rsid w:val="00BA1663"/>
    <w:rsid w:val="00BB7F98"/>
    <w:rsid w:val="00BC027C"/>
    <w:rsid w:val="00BD7760"/>
    <w:rsid w:val="00BE770C"/>
    <w:rsid w:val="00C27378"/>
    <w:rsid w:val="00C320E3"/>
    <w:rsid w:val="00CF2DD7"/>
    <w:rsid w:val="00D43AB6"/>
    <w:rsid w:val="00D479EC"/>
    <w:rsid w:val="00DC615B"/>
    <w:rsid w:val="00E4179F"/>
    <w:rsid w:val="00E46ADB"/>
    <w:rsid w:val="00E64991"/>
    <w:rsid w:val="00E65C80"/>
    <w:rsid w:val="00EA231D"/>
    <w:rsid w:val="00ED5A97"/>
    <w:rsid w:val="00F01219"/>
    <w:rsid w:val="00F12BBC"/>
    <w:rsid w:val="00F21AC0"/>
    <w:rsid w:val="00F247B4"/>
    <w:rsid w:val="00F8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13A6D7"/>
  <w15:docId w15:val="{B28BE14F-848D-44DB-9315-F1C5ABB36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lv-LV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6F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7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2740"/>
    <w:rPr>
      <w:color w:val="0000FF" w:themeColor="hyperlink"/>
      <w:u w:val="single"/>
    </w:rPr>
  </w:style>
  <w:style w:type="paragraph" w:styleId="Subtitle">
    <w:name w:val="Subtitle"/>
    <w:basedOn w:val="Normal"/>
    <w:link w:val="SubtitleChar"/>
    <w:qFormat/>
    <w:rsid w:val="00414E11"/>
    <w:pPr>
      <w:widowControl w:val="0"/>
      <w:spacing w:after="120"/>
      <w:jc w:val="center"/>
    </w:pPr>
    <w:rPr>
      <w:rFonts w:eastAsia="Times New Roman"/>
      <w:b/>
      <w:szCs w:val="20"/>
    </w:rPr>
  </w:style>
  <w:style w:type="character" w:customStyle="1" w:styleId="SubtitleChar">
    <w:name w:val="Subtitle Char"/>
    <w:basedOn w:val="DefaultParagraphFont"/>
    <w:link w:val="Subtitle"/>
    <w:rsid w:val="00414E11"/>
    <w:rPr>
      <w:rFonts w:eastAsia="Times New Roman"/>
      <w:b/>
      <w:szCs w:val="20"/>
    </w:rPr>
  </w:style>
  <w:style w:type="paragraph" w:styleId="ListParagraph">
    <w:name w:val="List Paragraph"/>
    <w:basedOn w:val="Normal"/>
    <w:uiPriority w:val="34"/>
    <w:qFormat/>
    <w:rsid w:val="00CF2D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166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1663"/>
  </w:style>
  <w:style w:type="paragraph" w:styleId="Footer">
    <w:name w:val="footer"/>
    <w:basedOn w:val="Normal"/>
    <w:link w:val="FooterChar"/>
    <w:uiPriority w:val="99"/>
    <w:unhideWhenUsed/>
    <w:rsid w:val="00BA166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16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na.Liepina@lm.gov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ina.Liepina@lm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1671</Words>
  <Characters>953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Aina Liepiņa</dc:creator>
  <cp:lastModifiedBy>Aina Liepina</cp:lastModifiedBy>
  <cp:revision>7</cp:revision>
  <dcterms:created xsi:type="dcterms:W3CDTF">2019-09-25T10:03:00Z</dcterms:created>
  <dcterms:modified xsi:type="dcterms:W3CDTF">2019-10-30T10:18:00Z</dcterms:modified>
</cp:coreProperties>
</file>